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2B5A">
      <w:pPr>
        <w:spacing w:line="360" w:lineRule="auto"/>
        <w:outlineLvl w:val="9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普通高等学校基本办学条件指标（试行）</w:t>
      </w:r>
    </w:p>
    <w:bookmarkEnd w:id="0"/>
    <w:p w14:paraId="208C4C95">
      <w:pPr>
        <w:spacing w:line="400" w:lineRule="exact"/>
        <w:outlineLvl w:val="9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 xml:space="preserve"> </w:t>
      </w:r>
    </w:p>
    <w:p w14:paraId="17CBA2FD">
      <w:pPr>
        <w:spacing w:line="400" w:lineRule="exact"/>
        <w:outlineLvl w:val="9"/>
        <w:rPr>
          <w:rFonts w:ascii="华文细黑" w:hAnsi="Times New Roman" w:eastAsia="华文细黑" w:cs="Times New Roman"/>
          <w:b/>
          <w:bCs/>
          <w:sz w:val="28"/>
          <w:szCs w:val="24"/>
        </w:rPr>
      </w:pPr>
      <w:r>
        <w:rPr>
          <w:rFonts w:hint="eastAsia" w:ascii="华文细黑" w:hAnsi="Times New Roman" w:eastAsia="华文细黑" w:cs="Times New Roman"/>
          <w:b/>
          <w:bCs/>
          <w:sz w:val="28"/>
          <w:szCs w:val="24"/>
        </w:rPr>
        <w:t>表一、基本办学条件指标：合格</w:t>
      </w:r>
    </w:p>
    <w:p w14:paraId="523E5FB7">
      <w:pPr>
        <w:outlineLvl w:val="9"/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889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941"/>
        <w:gridCol w:w="1571"/>
        <w:gridCol w:w="1257"/>
        <w:gridCol w:w="1414"/>
        <w:gridCol w:w="1524"/>
      </w:tblGrid>
      <w:tr w14:paraId="6C2DD1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" w:hRule="atLeast"/>
        </w:trPr>
        <w:tc>
          <w:tcPr>
            <w:tcW w:w="2184" w:type="dxa"/>
            <w:vMerge w:val="restart"/>
            <w:vAlign w:val="center"/>
          </w:tcPr>
          <w:p w14:paraId="3BE6F918">
            <w:pPr>
              <w:jc w:val="center"/>
              <w:outlineLvl w:val="9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学校类别</w:t>
            </w:r>
          </w:p>
        </w:tc>
        <w:tc>
          <w:tcPr>
            <w:tcW w:w="6707" w:type="dxa"/>
            <w:gridSpan w:val="5"/>
            <w:vAlign w:val="center"/>
          </w:tcPr>
          <w:p w14:paraId="3E4D59BE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高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职 （专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科）</w:t>
            </w:r>
          </w:p>
        </w:tc>
      </w:tr>
      <w:tr w14:paraId="310A5D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184" w:type="dxa"/>
            <w:vMerge w:val="continue"/>
            <w:tcBorders>
              <w:bottom w:val="double" w:color="auto" w:sz="4" w:space="0"/>
            </w:tcBorders>
          </w:tcPr>
          <w:p w14:paraId="400F24D6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941" w:type="dxa"/>
            <w:tcBorders>
              <w:bottom w:val="double" w:color="auto" w:sz="4" w:space="0"/>
            </w:tcBorders>
            <w:vAlign w:val="center"/>
          </w:tcPr>
          <w:p w14:paraId="1BEC7D85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生师比</w:t>
            </w:r>
          </w:p>
        </w:tc>
        <w:tc>
          <w:tcPr>
            <w:tcW w:w="1571" w:type="dxa"/>
            <w:tcBorders>
              <w:bottom w:val="double" w:color="auto" w:sz="4" w:space="0"/>
            </w:tcBorders>
            <w:vAlign w:val="center"/>
          </w:tcPr>
          <w:p w14:paraId="45D29D63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具有研究生学位教师占专任教师的比例（%）</w:t>
            </w:r>
          </w:p>
        </w:tc>
        <w:tc>
          <w:tcPr>
            <w:tcW w:w="1257" w:type="dxa"/>
            <w:tcBorders>
              <w:bottom w:val="double" w:color="auto" w:sz="4" w:space="0"/>
            </w:tcBorders>
            <w:vAlign w:val="center"/>
          </w:tcPr>
          <w:p w14:paraId="5F96CC3D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生均教学行政用房（平方米/生）</w:t>
            </w:r>
          </w:p>
        </w:tc>
        <w:tc>
          <w:tcPr>
            <w:tcW w:w="1414" w:type="dxa"/>
            <w:tcBorders>
              <w:bottom w:val="double" w:color="auto" w:sz="4" w:space="0"/>
            </w:tcBorders>
            <w:vAlign w:val="center"/>
          </w:tcPr>
          <w:p w14:paraId="251C36C9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生均教学科研仪器设备值（元/生）</w:t>
            </w:r>
          </w:p>
        </w:tc>
        <w:tc>
          <w:tcPr>
            <w:tcW w:w="1524" w:type="dxa"/>
            <w:tcBorders>
              <w:bottom w:val="double" w:color="auto" w:sz="4" w:space="0"/>
            </w:tcBorders>
            <w:vAlign w:val="center"/>
          </w:tcPr>
          <w:p w14:paraId="7E29A615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生均图书</w:t>
            </w:r>
          </w:p>
          <w:p w14:paraId="40E50E00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（册/生）</w:t>
            </w:r>
          </w:p>
        </w:tc>
      </w:tr>
      <w:tr w14:paraId="441B6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2184" w:type="dxa"/>
          </w:tcPr>
          <w:p w14:paraId="02CB6E25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综合、师范、民族院校</w:t>
            </w:r>
          </w:p>
          <w:p w14:paraId="6E80857D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工科、农、林院校</w:t>
            </w:r>
          </w:p>
          <w:p w14:paraId="16122149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医学院校</w:t>
            </w:r>
          </w:p>
          <w:p w14:paraId="0EBE284D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语文、财经、政法院校</w:t>
            </w:r>
          </w:p>
          <w:p w14:paraId="334D67E1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体育院校</w:t>
            </w:r>
          </w:p>
          <w:p w14:paraId="458857F4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艺术院校</w:t>
            </w:r>
          </w:p>
        </w:tc>
        <w:tc>
          <w:tcPr>
            <w:tcW w:w="941" w:type="dxa"/>
          </w:tcPr>
          <w:p w14:paraId="392E21E8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18</w:t>
            </w:r>
          </w:p>
          <w:p w14:paraId="1FBD9332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18</w:t>
            </w:r>
          </w:p>
          <w:p w14:paraId="584D778D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16</w:t>
            </w:r>
          </w:p>
          <w:p w14:paraId="7C84036C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18</w:t>
            </w:r>
          </w:p>
          <w:p w14:paraId="49C76DD7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13</w:t>
            </w:r>
          </w:p>
          <w:p w14:paraId="38473A3A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13</w:t>
            </w:r>
          </w:p>
        </w:tc>
        <w:tc>
          <w:tcPr>
            <w:tcW w:w="1571" w:type="dxa"/>
          </w:tcPr>
          <w:p w14:paraId="45659747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15</w:t>
            </w:r>
          </w:p>
          <w:p w14:paraId="13D1358C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15</w:t>
            </w:r>
          </w:p>
          <w:p w14:paraId="5557B42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15</w:t>
            </w:r>
          </w:p>
          <w:p w14:paraId="0F9D19F4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15</w:t>
            </w:r>
          </w:p>
          <w:p w14:paraId="1065F4CB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15</w:t>
            </w:r>
          </w:p>
          <w:p w14:paraId="6CCC3105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15</w:t>
            </w:r>
          </w:p>
        </w:tc>
        <w:tc>
          <w:tcPr>
            <w:tcW w:w="1257" w:type="dxa"/>
          </w:tcPr>
          <w:p w14:paraId="727B2A76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14</w:t>
            </w:r>
          </w:p>
          <w:p w14:paraId="09DF6772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16</w:t>
            </w:r>
          </w:p>
          <w:p w14:paraId="500F3C9C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16</w:t>
            </w:r>
          </w:p>
          <w:p w14:paraId="6116C161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9</w:t>
            </w:r>
          </w:p>
          <w:p w14:paraId="20874FAA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22</w:t>
            </w:r>
          </w:p>
          <w:p w14:paraId="46671801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18</w:t>
            </w:r>
          </w:p>
        </w:tc>
        <w:tc>
          <w:tcPr>
            <w:tcW w:w="1414" w:type="dxa"/>
          </w:tcPr>
          <w:p w14:paraId="419D1E4B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4000</w:t>
            </w:r>
          </w:p>
          <w:p w14:paraId="074544C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4000</w:t>
            </w:r>
          </w:p>
          <w:p w14:paraId="41DCF1D5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4000</w:t>
            </w:r>
          </w:p>
          <w:p w14:paraId="13E7C7EE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3000</w:t>
            </w:r>
          </w:p>
          <w:p w14:paraId="24EBA07D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3000</w:t>
            </w:r>
          </w:p>
          <w:p w14:paraId="5CDA90FA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3000</w:t>
            </w:r>
          </w:p>
        </w:tc>
        <w:tc>
          <w:tcPr>
            <w:tcW w:w="1524" w:type="dxa"/>
          </w:tcPr>
          <w:p w14:paraId="2FEA0EF7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80</w:t>
            </w:r>
          </w:p>
          <w:p w14:paraId="3560EB6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60</w:t>
            </w:r>
          </w:p>
          <w:p w14:paraId="2D005224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60</w:t>
            </w:r>
          </w:p>
          <w:p w14:paraId="157DA868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80</w:t>
            </w:r>
          </w:p>
          <w:p w14:paraId="0CC848C9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50</w:t>
            </w:r>
          </w:p>
          <w:p w14:paraId="022D236A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60</w:t>
            </w:r>
          </w:p>
        </w:tc>
      </w:tr>
    </w:tbl>
    <w:p w14:paraId="52ACF9FA">
      <w:pPr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备注：</w:t>
      </w:r>
    </w:p>
    <w:p w14:paraId="34323E34">
      <w:pPr>
        <w:ind w:firstLine="359" w:firstLineChars="171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⒈</w:t>
      </w:r>
      <w:r>
        <w:rPr>
          <w:rFonts w:hint="eastAsia" w:ascii="仿宋_GB2312" w:hAnsi="Times New Roman" w:eastAsia="仿宋_GB2312" w:cs="Times New Roman"/>
          <w:szCs w:val="24"/>
        </w:rPr>
        <w:t>聘请校外教师经折算后计入教师总数，原则上聘请校外教师数不超过专任教师总数的四分之一。</w:t>
      </w:r>
    </w:p>
    <w:p w14:paraId="4D206F17">
      <w:pPr>
        <w:ind w:firstLine="359" w:firstLineChars="171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⒉</w:t>
      </w:r>
      <w:r>
        <w:rPr>
          <w:rFonts w:hint="eastAsia" w:ascii="仿宋_GB2312" w:hAnsi="Times New Roman" w:eastAsia="仿宋_GB2312" w:cs="Times New Roman"/>
          <w:szCs w:val="24"/>
        </w:rPr>
        <w:t>凡生师比指标不高于表中数值，且其它指标不低于表中数值的学校为合格学校。</w:t>
      </w:r>
    </w:p>
    <w:p w14:paraId="20C26717">
      <w:pPr>
        <w:spacing w:line="520" w:lineRule="exact"/>
        <w:outlineLvl w:val="9"/>
        <w:rPr>
          <w:rFonts w:ascii="黑体" w:hAnsi="Times New Roman" w:eastAsia="黑体" w:cs="Times New Roman"/>
          <w:sz w:val="32"/>
          <w:szCs w:val="24"/>
        </w:rPr>
      </w:pPr>
    </w:p>
    <w:p w14:paraId="4F29FF3B">
      <w:pPr>
        <w:spacing w:line="520" w:lineRule="exact"/>
        <w:outlineLvl w:val="9"/>
        <w:rPr>
          <w:rFonts w:ascii="华文细黑" w:hAnsi="华文细黑" w:eastAsia="华文细黑" w:cs="Times New Roman"/>
          <w:b/>
          <w:bCs/>
          <w:sz w:val="28"/>
          <w:szCs w:val="24"/>
        </w:rPr>
      </w:pPr>
      <w:r>
        <w:rPr>
          <w:rFonts w:hint="eastAsia" w:ascii="黑体" w:hAnsi="Times New Roman" w:eastAsia="黑体" w:cs="Times New Roman"/>
          <w:sz w:val="32"/>
          <w:szCs w:val="24"/>
        </w:rPr>
        <w:t>表</w:t>
      </w:r>
      <w:r>
        <w:rPr>
          <w:rFonts w:hint="eastAsia" w:ascii="华文细黑" w:hAnsi="Times New Roman" w:eastAsia="华文细黑" w:cs="Times New Roman"/>
          <w:b/>
          <w:bCs/>
          <w:sz w:val="28"/>
          <w:szCs w:val="24"/>
        </w:rPr>
        <w:t>二、基本办学条件指标：限制招生</w:t>
      </w:r>
    </w:p>
    <w:p w14:paraId="59E29306">
      <w:pPr>
        <w:outlineLvl w:val="9"/>
        <w:rPr>
          <w:rFonts w:ascii="Times New Roman" w:hAnsi="Times New Roman" w:eastAsia="宋体" w:cs="Times New Roman"/>
          <w:szCs w:val="24"/>
        </w:rPr>
      </w:pPr>
    </w:p>
    <w:tbl>
      <w:tblPr>
        <w:tblStyle w:val="2"/>
        <w:tblW w:w="899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015"/>
        <w:gridCol w:w="1446"/>
        <w:gridCol w:w="1335"/>
        <w:gridCol w:w="1669"/>
        <w:gridCol w:w="1340"/>
      </w:tblGrid>
      <w:tr w14:paraId="06DC1F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</w:trPr>
        <w:tc>
          <w:tcPr>
            <w:tcW w:w="2194" w:type="dxa"/>
            <w:vMerge w:val="restart"/>
          </w:tcPr>
          <w:p w14:paraId="4468AD21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6805" w:type="dxa"/>
            <w:gridSpan w:val="5"/>
            <w:vAlign w:val="center"/>
          </w:tcPr>
          <w:p w14:paraId="1C899BC7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高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职 （专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科）</w:t>
            </w:r>
          </w:p>
        </w:tc>
      </w:tr>
      <w:tr w14:paraId="4AAD67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194" w:type="dxa"/>
            <w:vMerge w:val="continue"/>
            <w:tcBorders>
              <w:bottom w:val="double" w:color="auto" w:sz="4" w:space="0"/>
            </w:tcBorders>
          </w:tcPr>
          <w:p w14:paraId="4781C594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015" w:type="dxa"/>
            <w:tcBorders>
              <w:bottom w:val="double" w:color="auto" w:sz="4" w:space="0"/>
            </w:tcBorders>
            <w:vAlign w:val="center"/>
          </w:tcPr>
          <w:p w14:paraId="46D8DEA0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生师比</w:t>
            </w:r>
          </w:p>
        </w:tc>
        <w:tc>
          <w:tcPr>
            <w:tcW w:w="1446" w:type="dxa"/>
            <w:tcBorders>
              <w:bottom w:val="double" w:color="auto" w:sz="4" w:space="0"/>
            </w:tcBorders>
            <w:vAlign w:val="center"/>
          </w:tcPr>
          <w:p w14:paraId="16E1CF1C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具有研究生学位教师占专任教师的比例（%）</w:t>
            </w:r>
          </w:p>
        </w:tc>
        <w:tc>
          <w:tcPr>
            <w:tcW w:w="1335" w:type="dxa"/>
            <w:tcBorders>
              <w:bottom w:val="double" w:color="auto" w:sz="4" w:space="0"/>
            </w:tcBorders>
            <w:vAlign w:val="center"/>
          </w:tcPr>
          <w:p w14:paraId="5D8339ED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生均教学行政用房（平方米/生）</w:t>
            </w:r>
          </w:p>
        </w:tc>
        <w:tc>
          <w:tcPr>
            <w:tcW w:w="1669" w:type="dxa"/>
            <w:tcBorders>
              <w:bottom w:val="double" w:color="auto" w:sz="4" w:space="0"/>
            </w:tcBorders>
            <w:vAlign w:val="center"/>
          </w:tcPr>
          <w:p w14:paraId="5B858DF1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生均教学科研仪器设备值（元/生）</w:t>
            </w: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 w14:paraId="61DFD86B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生均图书</w:t>
            </w:r>
          </w:p>
          <w:p w14:paraId="25D14B16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（册/生）</w:t>
            </w:r>
          </w:p>
        </w:tc>
      </w:tr>
      <w:tr w14:paraId="496515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194" w:type="dxa"/>
          </w:tcPr>
          <w:p w14:paraId="228D7352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综合、师范、民族院校</w:t>
            </w:r>
          </w:p>
          <w:p w14:paraId="6D9CF51C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工科、农、林、医学院校</w:t>
            </w:r>
          </w:p>
          <w:p w14:paraId="5C62DD8A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语文、财经、政法院校</w:t>
            </w:r>
          </w:p>
          <w:p w14:paraId="6715E4E8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体育院校</w:t>
            </w:r>
          </w:p>
          <w:p w14:paraId="450B76A0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艺术院校</w:t>
            </w:r>
          </w:p>
        </w:tc>
        <w:tc>
          <w:tcPr>
            <w:tcW w:w="1015" w:type="dxa"/>
          </w:tcPr>
          <w:p w14:paraId="3BBF20D9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22</w:t>
            </w:r>
          </w:p>
          <w:p w14:paraId="25FCB08B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22</w:t>
            </w:r>
          </w:p>
          <w:p w14:paraId="18EC1A8F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23</w:t>
            </w:r>
          </w:p>
          <w:p w14:paraId="408A4887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17</w:t>
            </w:r>
          </w:p>
          <w:p w14:paraId="1920EC94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17</w:t>
            </w:r>
          </w:p>
        </w:tc>
        <w:tc>
          <w:tcPr>
            <w:tcW w:w="1446" w:type="dxa"/>
          </w:tcPr>
          <w:p w14:paraId="509F6AB1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  <w:p w14:paraId="554ECBD0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  <w:p w14:paraId="251CB361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  <w:p w14:paraId="014522F5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  <w:p w14:paraId="2D70FF7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</w:tc>
        <w:tc>
          <w:tcPr>
            <w:tcW w:w="1335" w:type="dxa"/>
          </w:tcPr>
          <w:p w14:paraId="108C48DD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8</w:t>
            </w:r>
          </w:p>
          <w:p w14:paraId="0DB7987F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9</w:t>
            </w:r>
          </w:p>
          <w:p w14:paraId="1BC12746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5</w:t>
            </w:r>
          </w:p>
          <w:p w14:paraId="74685769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13</w:t>
            </w:r>
          </w:p>
          <w:p w14:paraId="408F0E9F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11</w:t>
            </w:r>
          </w:p>
        </w:tc>
        <w:tc>
          <w:tcPr>
            <w:tcW w:w="1669" w:type="dxa"/>
          </w:tcPr>
          <w:p w14:paraId="6159156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2500</w:t>
            </w:r>
          </w:p>
          <w:p w14:paraId="47641696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2500</w:t>
            </w:r>
          </w:p>
          <w:p w14:paraId="4C13C858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2000</w:t>
            </w:r>
          </w:p>
          <w:p w14:paraId="707A855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2000</w:t>
            </w:r>
          </w:p>
          <w:p w14:paraId="27ABC0BD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2000</w:t>
            </w:r>
          </w:p>
        </w:tc>
        <w:tc>
          <w:tcPr>
            <w:tcW w:w="1340" w:type="dxa"/>
          </w:tcPr>
          <w:p w14:paraId="047386F9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45</w:t>
            </w:r>
          </w:p>
          <w:p w14:paraId="43A95283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35</w:t>
            </w:r>
          </w:p>
          <w:p w14:paraId="5D3C41E8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45</w:t>
            </w:r>
          </w:p>
          <w:p w14:paraId="4C37512B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30</w:t>
            </w:r>
          </w:p>
          <w:p w14:paraId="23F3192A">
            <w:pPr>
              <w:jc w:val="center"/>
              <w:outlineLvl w:val="9"/>
              <w:rPr>
                <w:rFonts w:ascii="宋体" w:hAnsi="宋体" w:eastAsia="宋体" w:cs="Times New Roman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sz w:val="18"/>
                <w:szCs w:val="24"/>
              </w:rPr>
              <w:t>35</w:t>
            </w:r>
          </w:p>
        </w:tc>
      </w:tr>
    </w:tbl>
    <w:p w14:paraId="75CD1FD5">
      <w:pPr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备注：</w:t>
      </w:r>
    </w:p>
    <w:p w14:paraId="3EB2E466">
      <w:pPr>
        <w:ind w:firstLine="630" w:firstLineChars="300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⒈</w:t>
      </w:r>
      <w:r>
        <w:rPr>
          <w:rFonts w:hint="eastAsia" w:ascii="仿宋_GB2312" w:hAnsi="Times New Roman" w:eastAsia="仿宋_GB2312" w:cs="Times New Roman"/>
          <w:szCs w:val="24"/>
        </w:rPr>
        <w:t>生师比指标高于表中数值或其它某一项指标低于表中数值，即该项指标未达到规定要求。</w:t>
      </w:r>
    </w:p>
    <w:p w14:paraId="33E629E1">
      <w:pPr>
        <w:ind w:firstLine="630" w:firstLineChars="300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⒉</w:t>
      </w:r>
      <w:r>
        <w:rPr>
          <w:rFonts w:hint="eastAsia" w:ascii="仿宋_GB2312" w:hAnsi="Times New Roman" w:eastAsia="仿宋_GB2312" w:cs="Times New Roman"/>
          <w:szCs w:val="24"/>
        </w:rPr>
        <w:t>凡有一项指标未达到规定要求的学校，即被确定为限制招生（黄牌）学校。</w:t>
      </w:r>
    </w:p>
    <w:p w14:paraId="69A4C7C5">
      <w:pPr>
        <w:ind w:firstLine="630" w:firstLineChars="300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⒊</w:t>
      </w:r>
      <w:r>
        <w:rPr>
          <w:rFonts w:hint="eastAsia" w:ascii="仿宋_GB2312" w:hAnsi="Times New Roman" w:eastAsia="仿宋_GB2312" w:cs="Times New Roman"/>
          <w:szCs w:val="24"/>
        </w:rPr>
        <w:t>凡两项或两项以上指标未达到规定要求的学校，即被确定为暂停招生（红牌）学校。</w:t>
      </w:r>
    </w:p>
    <w:p w14:paraId="473F7BFE">
      <w:pPr>
        <w:ind w:firstLine="630" w:firstLineChars="300"/>
        <w:outlineLvl w:val="9"/>
        <w:rPr>
          <w:rFonts w:ascii="Times New Roman" w:hAnsi="Times New Roman" w:eastAsia="宋体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⒋</w:t>
      </w:r>
      <w:r>
        <w:rPr>
          <w:rFonts w:hint="eastAsia" w:ascii="仿宋_GB2312" w:hAnsi="Times New Roman" w:eastAsia="仿宋_GB2312" w:cs="Times New Roman"/>
          <w:szCs w:val="24"/>
        </w:rPr>
        <w:t>凡连续三年被确定为“黄”牌的学校，第三年即被确定为暂停招生（红牌）学校。</w:t>
      </w:r>
    </w:p>
    <w:p w14:paraId="12AE8B32">
      <w:pPr>
        <w:spacing w:line="360" w:lineRule="auto"/>
        <w:outlineLvl w:val="9"/>
        <w:rPr>
          <w:rFonts w:ascii="华文细黑" w:hAnsi="华文细黑" w:eastAsia="华文细黑" w:cs="Times New Roman"/>
          <w:b/>
          <w:sz w:val="28"/>
          <w:szCs w:val="24"/>
        </w:rPr>
      </w:pPr>
    </w:p>
    <w:p w14:paraId="562B7101">
      <w:pPr>
        <w:spacing w:line="360" w:lineRule="auto"/>
        <w:outlineLvl w:val="9"/>
        <w:rPr>
          <w:rFonts w:ascii="华文细黑" w:hAnsi="华文细黑" w:eastAsia="华文细黑" w:cs="Times New Roman"/>
          <w:b/>
          <w:sz w:val="28"/>
          <w:szCs w:val="24"/>
        </w:rPr>
      </w:pPr>
    </w:p>
    <w:p w14:paraId="620CA36C">
      <w:pPr>
        <w:spacing w:line="360" w:lineRule="auto"/>
        <w:outlineLvl w:val="9"/>
        <w:rPr>
          <w:rFonts w:ascii="黑体" w:hAnsi="华文细黑" w:eastAsia="黑体" w:cs="Times New Roman"/>
          <w:b/>
          <w:sz w:val="28"/>
          <w:szCs w:val="24"/>
        </w:rPr>
      </w:pPr>
      <w:r>
        <w:rPr>
          <w:rFonts w:hint="eastAsia" w:ascii="华文细黑" w:hAnsi="华文细黑" w:eastAsia="华文细黑" w:cs="Times New Roman"/>
          <w:b/>
          <w:sz w:val="28"/>
          <w:szCs w:val="24"/>
        </w:rPr>
        <w:t>表三、监测办学条件指标：合格要求</w:t>
      </w:r>
    </w:p>
    <w:tbl>
      <w:tblPr>
        <w:tblStyle w:val="2"/>
        <w:tblW w:w="899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017"/>
        <w:gridCol w:w="872"/>
        <w:gridCol w:w="871"/>
        <w:gridCol w:w="1021"/>
        <w:gridCol w:w="1158"/>
        <w:gridCol w:w="1162"/>
        <w:gridCol w:w="876"/>
      </w:tblGrid>
      <w:tr w14:paraId="3FB6C4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020" w:type="dxa"/>
            <w:vMerge w:val="restart"/>
            <w:vAlign w:val="center"/>
          </w:tcPr>
          <w:p w14:paraId="37E8950C">
            <w:pPr>
              <w:jc w:val="center"/>
              <w:outlineLvl w:val="9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学校类别</w:t>
            </w:r>
          </w:p>
        </w:tc>
        <w:tc>
          <w:tcPr>
            <w:tcW w:w="6977" w:type="dxa"/>
            <w:gridSpan w:val="7"/>
          </w:tcPr>
          <w:p w14:paraId="52A4830F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高职（专科）</w:t>
            </w:r>
          </w:p>
        </w:tc>
      </w:tr>
      <w:tr w14:paraId="39233B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2020" w:type="dxa"/>
            <w:vMerge w:val="continue"/>
          </w:tcPr>
          <w:p w14:paraId="415558BF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  <w:tc>
          <w:tcPr>
            <w:tcW w:w="1017" w:type="dxa"/>
          </w:tcPr>
          <w:p w14:paraId="0CC1A378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具有高级职务教师占专任教师的比例（%）</w:t>
            </w:r>
          </w:p>
        </w:tc>
        <w:tc>
          <w:tcPr>
            <w:tcW w:w="872" w:type="dxa"/>
          </w:tcPr>
          <w:p w14:paraId="1EAC24C4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生均占地面积（平方米/生）</w:t>
            </w:r>
          </w:p>
        </w:tc>
        <w:tc>
          <w:tcPr>
            <w:tcW w:w="871" w:type="dxa"/>
          </w:tcPr>
          <w:p w14:paraId="3D4BCE8E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生均宿舍面积（平方米/生）</w:t>
            </w:r>
          </w:p>
        </w:tc>
        <w:tc>
          <w:tcPr>
            <w:tcW w:w="1021" w:type="dxa"/>
          </w:tcPr>
          <w:p w14:paraId="3281B350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百名学生配教学用计算机台数（台）</w:t>
            </w:r>
          </w:p>
        </w:tc>
        <w:tc>
          <w:tcPr>
            <w:tcW w:w="1158" w:type="dxa"/>
          </w:tcPr>
          <w:p w14:paraId="675500C6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百名学生配多媒体教室和语音实验室座位数（个）</w:t>
            </w:r>
          </w:p>
        </w:tc>
        <w:tc>
          <w:tcPr>
            <w:tcW w:w="1162" w:type="dxa"/>
          </w:tcPr>
          <w:p w14:paraId="206280B1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新增教学仪科研器设备所占比例（%）</w:t>
            </w:r>
          </w:p>
        </w:tc>
        <w:tc>
          <w:tcPr>
            <w:tcW w:w="876" w:type="dxa"/>
          </w:tcPr>
          <w:p w14:paraId="32380041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生均年进书量</w:t>
            </w:r>
          </w:p>
          <w:p w14:paraId="311EEFA2">
            <w:pPr>
              <w:jc w:val="center"/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（册）</w:t>
            </w:r>
          </w:p>
        </w:tc>
      </w:tr>
      <w:tr w14:paraId="4D0751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20" w:type="dxa"/>
          </w:tcPr>
          <w:p w14:paraId="7AA84536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综合、师范、民族院校</w:t>
            </w:r>
          </w:p>
        </w:tc>
        <w:tc>
          <w:tcPr>
            <w:tcW w:w="1017" w:type="dxa"/>
            <w:vAlign w:val="center"/>
          </w:tcPr>
          <w:p w14:paraId="5BD17A7D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20</w:t>
            </w:r>
          </w:p>
        </w:tc>
        <w:tc>
          <w:tcPr>
            <w:tcW w:w="872" w:type="dxa"/>
            <w:vAlign w:val="center"/>
          </w:tcPr>
          <w:p w14:paraId="61CBA792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54</w:t>
            </w:r>
          </w:p>
        </w:tc>
        <w:tc>
          <w:tcPr>
            <w:tcW w:w="871" w:type="dxa"/>
            <w:vAlign w:val="center"/>
          </w:tcPr>
          <w:p w14:paraId="30ABDB20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6.5</w:t>
            </w:r>
          </w:p>
        </w:tc>
        <w:tc>
          <w:tcPr>
            <w:tcW w:w="1021" w:type="dxa"/>
            <w:vAlign w:val="center"/>
          </w:tcPr>
          <w:p w14:paraId="1508AF41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 w14:paraId="4648657E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14:paraId="386F908E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463D38B2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</w:t>
            </w:r>
          </w:p>
        </w:tc>
      </w:tr>
      <w:tr w14:paraId="004A4E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20" w:type="dxa"/>
          </w:tcPr>
          <w:p w14:paraId="7164D391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工、农、林、医学院校</w:t>
            </w:r>
          </w:p>
        </w:tc>
        <w:tc>
          <w:tcPr>
            <w:tcW w:w="1017" w:type="dxa"/>
            <w:vAlign w:val="center"/>
          </w:tcPr>
          <w:p w14:paraId="4A7BBEE3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20</w:t>
            </w:r>
          </w:p>
        </w:tc>
        <w:tc>
          <w:tcPr>
            <w:tcW w:w="872" w:type="dxa"/>
            <w:vAlign w:val="center"/>
          </w:tcPr>
          <w:p w14:paraId="75D95429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59</w:t>
            </w:r>
          </w:p>
        </w:tc>
        <w:tc>
          <w:tcPr>
            <w:tcW w:w="871" w:type="dxa"/>
            <w:vAlign w:val="center"/>
          </w:tcPr>
          <w:p w14:paraId="568A6F16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6.5</w:t>
            </w:r>
          </w:p>
        </w:tc>
        <w:tc>
          <w:tcPr>
            <w:tcW w:w="1021" w:type="dxa"/>
            <w:vAlign w:val="center"/>
          </w:tcPr>
          <w:p w14:paraId="44F53120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 w14:paraId="33A30F7C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14:paraId="778331D3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5CD978E5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</w:t>
            </w:r>
          </w:p>
        </w:tc>
      </w:tr>
      <w:tr w14:paraId="7FB573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20" w:type="dxa"/>
          </w:tcPr>
          <w:p w14:paraId="10069EB7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语文、财经、政法院校</w:t>
            </w:r>
          </w:p>
        </w:tc>
        <w:tc>
          <w:tcPr>
            <w:tcW w:w="1017" w:type="dxa"/>
            <w:vAlign w:val="center"/>
          </w:tcPr>
          <w:p w14:paraId="37966F7B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20</w:t>
            </w:r>
          </w:p>
        </w:tc>
        <w:tc>
          <w:tcPr>
            <w:tcW w:w="872" w:type="dxa"/>
            <w:vAlign w:val="center"/>
          </w:tcPr>
          <w:p w14:paraId="5C8D9039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54</w:t>
            </w:r>
          </w:p>
        </w:tc>
        <w:tc>
          <w:tcPr>
            <w:tcW w:w="871" w:type="dxa"/>
            <w:vAlign w:val="center"/>
          </w:tcPr>
          <w:p w14:paraId="7F624BA2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6.5</w:t>
            </w:r>
          </w:p>
        </w:tc>
        <w:tc>
          <w:tcPr>
            <w:tcW w:w="1021" w:type="dxa"/>
            <w:vAlign w:val="center"/>
          </w:tcPr>
          <w:p w14:paraId="1BDB0E4F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 w14:paraId="66B2FCA0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14:paraId="3A5CA9C8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1FED5480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</w:t>
            </w:r>
          </w:p>
        </w:tc>
      </w:tr>
      <w:tr w14:paraId="3965EE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020" w:type="dxa"/>
          </w:tcPr>
          <w:p w14:paraId="670C8D2B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体育院校</w:t>
            </w:r>
          </w:p>
        </w:tc>
        <w:tc>
          <w:tcPr>
            <w:tcW w:w="1017" w:type="dxa"/>
            <w:vAlign w:val="center"/>
          </w:tcPr>
          <w:p w14:paraId="0379F63B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20</w:t>
            </w:r>
          </w:p>
        </w:tc>
        <w:tc>
          <w:tcPr>
            <w:tcW w:w="872" w:type="dxa"/>
            <w:vAlign w:val="center"/>
          </w:tcPr>
          <w:p w14:paraId="0B7E671E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88</w:t>
            </w:r>
          </w:p>
        </w:tc>
        <w:tc>
          <w:tcPr>
            <w:tcW w:w="871" w:type="dxa"/>
            <w:vAlign w:val="center"/>
          </w:tcPr>
          <w:p w14:paraId="27D1DFF1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6.5</w:t>
            </w:r>
          </w:p>
        </w:tc>
        <w:tc>
          <w:tcPr>
            <w:tcW w:w="1021" w:type="dxa"/>
            <w:vAlign w:val="center"/>
          </w:tcPr>
          <w:p w14:paraId="0DA30A30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 w14:paraId="53D90140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14:paraId="5F5FC32B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4BDE5775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</w:t>
            </w:r>
          </w:p>
        </w:tc>
      </w:tr>
      <w:tr w14:paraId="519065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20" w:type="dxa"/>
          </w:tcPr>
          <w:p w14:paraId="291703DD">
            <w:pPr>
              <w:outlineLvl w:val="9"/>
              <w:rPr>
                <w:rFonts w:ascii="Times New Roman" w:hAnsi="Times New Roman" w:eastAsia="宋体" w:cs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24"/>
              </w:rPr>
              <w:t>艺术院校</w:t>
            </w:r>
          </w:p>
        </w:tc>
        <w:tc>
          <w:tcPr>
            <w:tcW w:w="1017" w:type="dxa"/>
            <w:vAlign w:val="center"/>
          </w:tcPr>
          <w:p w14:paraId="31B0716D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20</w:t>
            </w:r>
          </w:p>
        </w:tc>
        <w:tc>
          <w:tcPr>
            <w:tcW w:w="872" w:type="dxa"/>
            <w:vAlign w:val="center"/>
          </w:tcPr>
          <w:p w14:paraId="5D8B13A9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88</w:t>
            </w:r>
          </w:p>
        </w:tc>
        <w:tc>
          <w:tcPr>
            <w:tcW w:w="871" w:type="dxa"/>
            <w:vAlign w:val="center"/>
          </w:tcPr>
          <w:p w14:paraId="44B1806B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6.5</w:t>
            </w:r>
          </w:p>
        </w:tc>
        <w:tc>
          <w:tcPr>
            <w:tcW w:w="1021" w:type="dxa"/>
            <w:vAlign w:val="center"/>
          </w:tcPr>
          <w:p w14:paraId="445E621D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8</w:t>
            </w:r>
          </w:p>
        </w:tc>
        <w:tc>
          <w:tcPr>
            <w:tcW w:w="1158" w:type="dxa"/>
            <w:vAlign w:val="center"/>
          </w:tcPr>
          <w:p w14:paraId="181C22F9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7</w:t>
            </w:r>
          </w:p>
        </w:tc>
        <w:tc>
          <w:tcPr>
            <w:tcW w:w="1162" w:type="dxa"/>
            <w:vAlign w:val="center"/>
          </w:tcPr>
          <w:p w14:paraId="0D69C0C3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0AD61362">
            <w:pPr>
              <w:jc w:val="center"/>
              <w:outlineLvl w:val="9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3</w:t>
            </w:r>
          </w:p>
        </w:tc>
      </w:tr>
    </w:tbl>
    <w:p w14:paraId="5D37C3C0">
      <w:pPr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Times New Roman" w:eastAsia="仿宋_GB2312" w:cs="Times New Roman"/>
          <w:szCs w:val="24"/>
        </w:rPr>
        <w:t>备注：</w:t>
      </w:r>
    </w:p>
    <w:p w14:paraId="7D7F9B50">
      <w:pPr>
        <w:ind w:firstLine="420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⒈</w:t>
      </w:r>
      <w:r>
        <w:rPr>
          <w:rFonts w:hint="eastAsia" w:ascii="仿宋_GB2312" w:hAnsi="Times New Roman" w:eastAsia="仿宋_GB2312" w:cs="Times New Roman"/>
          <w:szCs w:val="24"/>
        </w:rPr>
        <w:t>凡教学仪器设备总值超过1亿元的高校，当年新增教学仪器设备值超过1000万元，该项指标即为合格。</w:t>
      </w:r>
    </w:p>
    <w:p w14:paraId="631C3180">
      <w:pPr>
        <w:ind w:firstLine="420"/>
        <w:outlineLvl w:val="9"/>
        <w:rPr>
          <w:rFonts w:ascii="仿宋_GB2312" w:hAnsi="Times New Roman" w:eastAsia="仿宋_GB2312" w:cs="Times New Roman"/>
          <w:szCs w:val="24"/>
        </w:rPr>
      </w:pPr>
      <w:r>
        <w:rPr>
          <w:rFonts w:hint="eastAsia" w:ascii="仿宋_GB2312" w:hAnsi="宋体" w:eastAsia="仿宋_GB2312" w:cs="Times New Roman"/>
          <w:szCs w:val="24"/>
        </w:rPr>
        <w:t>⒉</w:t>
      </w:r>
      <w:r>
        <w:rPr>
          <w:rFonts w:hint="eastAsia" w:ascii="仿宋_GB2312" w:hAnsi="Times New Roman" w:eastAsia="仿宋_GB2312" w:cs="Times New Roman"/>
          <w:szCs w:val="24"/>
        </w:rPr>
        <w:t>凡折合在校生超过30000人的高校，当年进书量超过9万册，该项指标即为合格。</w:t>
      </w:r>
    </w:p>
    <w:p w14:paraId="17BCA580">
      <w:pPr>
        <w:spacing w:line="400" w:lineRule="exact"/>
        <w:ind w:firstLine="539"/>
        <w:outlineLvl w:val="9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仿宋_GB2312" w:hAnsi="Times New Roman" w:eastAsia="仿宋_GB2312" w:cs="Times New Roman"/>
          <w:sz w:val="28"/>
          <w:szCs w:val="24"/>
        </w:rPr>
        <w:br w:type="page"/>
      </w:r>
      <w:r>
        <w:rPr>
          <w:rFonts w:hint="eastAsia" w:ascii="Times New Roman" w:hAnsi="Times New Roman" w:eastAsia="黑体" w:cs="Times New Roman"/>
          <w:sz w:val="28"/>
          <w:szCs w:val="24"/>
        </w:rPr>
        <w:t>备注：</w:t>
      </w:r>
    </w:p>
    <w:p w14:paraId="7F7FC141">
      <w:pPr>
        <w:spacing w:line="400" w:lineRule="exact"/>
        <w:jc w:val="center"/>
        <w:outlineLvl w:val="9"/>
        <w:rPr>
          <w:rFonts w:ascii="Times New Roman" w:hAnsi="Times New Roman" w:eastAsia="黑体" w:cs="Times New Roman"/>
          <w:sz w:val="28"/>
          <w:szCs w:val="24"/>
        </w:rPr>
      </w:pPr>
      <w:r>
        <w:rPr>
          <w:rFonts w:hint="eastAsia" w:ascii="Times New Roman" w:hAnsi="Times New Roman" w:eastAsia="黑体" w:cs="Times New Roman"/>
          <w:sz w:val="28"/>
          <w:szCs w:val="24"/>
        </w:rPr>
        <w:t>办学条件指标测算办法</w:t>
      </w:r>
    </w:p>
    <w:p w14:paraId="70F2B1B0">
      <w:pPr>
        <w:spacing w:line="360" w:lineRule="auto"/>
        <w:ind w:firstLine="600"/>
        <w:outlineLvl w:val="9"/>
        <w:rPr>
          <w:rFonts w:ascii="仿宋_GB2312" w:hAnsi="宋体" w:eastAsia="仿宋_GB2312" w:cs="Times New Roman"/>
          <w:snapToGrid w:val="0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折合在校生数=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普通本、专科（高职）生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+硕士生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*1.5+博士生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*2+留学生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*3+预科生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+进修生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+成人脱产班学生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+夜大（业余）学生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*0.3+函授生</w:t>
      </w:r>
      <w:r>
        <w:rPr>
          <w:rFonts w:hint="eastAsia" w:ascii="仿宋_GB2312" w:hAnsi="宋体" w:eastAsia="仿宋_GB2312" w:cs="Times New Roman"/>
          <w:sz w:val="28"/>
          <w:szCs w:val="28"/>
        </w:rPr>
        <w:t>数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*0.1</w:t>
      </w:r>
    </w:p>
    <w:p w14:paraId="122E281B">
      <w:pPr>
        <w:spacing w:line="360" w:lineRule="auto"/>
        <w:ind w:firstLine="600"/>
        <w:outlineLvl w:val="9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全日制在校生数=普通本、专科</w:t>
      </w:r>
      <w:r>
        <w:rPr>
          <w:rFonts w:hint="eastAsia" w:ascii="仿宋_GB2312" w:hAnsi="宋体" w:eastAsia="仿宋_GB2312" w:cs="Times New Roman"/>
          <w:snapToGrid w:val="0"/>
          <w:spacing w:val="-14"/>
          <w:sz w:val="28"/>
          <w:szCs w:val="28"/>
        </w:rPr>
        <w:t>（高职）</w:t>
      </w:r>
      <w:r>
        <w:rPr>
          <w:rFonts w:hint="eastAsia" w:ascii="仿宋_GB2312" w:hAnsi="宋体" w:eastAsia="仿宋_GB2312" w:cs="Times New Roman"/>
          <w:sz w:val="28"/>
          <w:szCs w:val="28"/>
        </w:rPr>
        <w:t>生数+研究生数+留学生数+预科生数+成人脱产班学生数+进修生数</w:t>
      </w:r>
    </w:p>
    <w:p w14:paraId="14CFD304">
      <w:pPr>
        <w:spacing w:line="360" w:lineRule="auto"/>
        <w:ind w:firstLine="539"/>
        <w:outlineLvl w:val="9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教师总数=专任教师数+聘请校外教师数*0.5</w:t>
      </w:r>
    </w:p>
    <w:p w14:paraId="05725FA6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⒈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生师比=折合在校生数/教师总数</w:t>
      </w:r>
    </w:p>
    <w:p w14:paraId="1838F994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⒉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具有研究生学位教师占专任教师的比例=具有研究生学位专任教师数/专任教师数</w:t>
      </w:r>
    </w:p>
    <w:p w14:paraId="664E2E73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⒊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生均教学行政用房=（教学及辅助用房面积+行政办公用房面积）/全日制在校生数</w:t>
      </w:r>
    </w:p>
    <w:p w14:paraId="4349B4A0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⒋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生均教学科研仪器设备值=教学科研仪器设备资产总值/折合在校生数</w:t>
      </w:r>
    </w:p>
    <w:p w14:paraId="11952190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⒌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生均图书=图书总数/折合在校生数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</w:t>
      </w:r>
    </w:p>
    <w:p w14:paraId="79F88194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具有高级职务教师占专任教师的比例=具有副高级以上职务的专任教师数/专任教师数</w:t>
      </w:r>
    </w:p>
    <w:p w14:paraId="3BE5DD43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⒎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生均占地面积=占地面积/全日制在校生数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 xml:space="preserve"> </w:t>
      </w:r>
    </w:p>
    <w:p w14:paraId="55A987A7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⒏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生均学生宿舍面积=学生宿舍面积/全日制在校生数</w:t>
      </w:r>
    </w:p>
    <w:p w14:paraId="761657DC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⒐</w:t>
      </w:r>
      <w:r>
        <w:rPr>
          <w:rFonts w:hint="eastAsia" w:ascii="仿宋_GB2312" w:hAnsi="Times New Roman" w:eastAsia="仿宋_GB2312" w:cs="Times New Roman"/>
          <w:sz w:val="28"/>
          <w:szCs w:val="28"/>
        </w:rPr>
        <w:t>百名学生配教学用计算机台数=（教学用计算机台数/全日制在校生数）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</w:t>
      </w:r>
      <w:r>
        <w:rPr>
          <w:rFonts w:hint="eastAsia" w:ascii="仿宋_GB2312" w:hAnsi="Times New Roman" w:eastAsia="仿宋_GB2312" w:cs="Times New Roman"/>
          <w:sz w:val="28"/>
          <w:szCs w:val="28"/>
        </w:rPr>
        <w:t>100</w:t>
      </w:r>
    </w:p>
    <w:p w14:paraId="104C7BB4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⒑</w:t>
      </w:r>
      <w:r>
        <w:rPr>
          <w:rFonts w:hint="eastAsia" w:ascii="仿宋_GB2312" w:hAnsi="Times New Roman" w:eastAsia="仿宋_GB2312" w:cs="Times New Roman"/>
          <w:sz w:val="28"/>
          <w:szCs w:val="28"/>
        </w:rPr>
        <w:t>百名学生配多媒体教室和语音实验室座位数=（多媒体教室和语音实验室座位数/全日制在校生数）</w:t>
      </w:r>
      <w:r>
        <w:rPr>
          <w:rFonts w:hint="eastAsia" w:ascii="仿宋_GB2312" w:hAnsi="宋体" w:eastAsia="仿宋_GB2312" w:cs="Times New Roman"/>
          <w:snapToGrid w:val="0"/>
          <w:sz w:val="28"/>
          <w:szCs w:val="28"/>
        </w:rPr>
        <w:t>*</w:t>
      </w:r>
      <w:r>
        <w:rPr>
          <w:rFonts w:hint="eastAsia" w:ascii="仿宋_GB2312" w:hAnsi="Times New Roman" w:eastAsia="仿宋_GB2312" w:cs="Times New Roman"/>
          <w:sz w:val="28"/>
          <w:szCs w:val="28"/>
        </w:rPr>
        <w:t>100</w:t>
      </w:r>
    </w:p>
    <w:p w14:paraId="15BB17D3">
      <w:pPr>
        <w:spacing w:line="360" w:lineRule="auto"/>
        <w:ind w:left="818" w:leftChars="256" w:hanging="280" w:hangingChars="100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⒒</w:t>
      </w:r>
      <w:r>
        <w:rPr>
          <w:rFonts w:hint="eastAsia" w:ascii="仿宋_GB2312" w:hAnsi="Times New Roman" w:eastAsia="仿宋_GB2312" w:cs="Times New Roman"/>
          <w:sz w:val="28"/>
          <w:szCs w:val="28"/>
        </w:rPr>
        <w:t>新增教学科研仪器设备所占比例=当年新增教学科研仪器设备值/（教学科研仪器设备资产总值</w:t>
      </w:r>
      <w:r>
        <w:rPr>
          <w:rFonts w:hint="eastAsia" w:ascii="仿宋_GB2312" w:hAnsi="宋体" w:eastAsia="仿宋_GB2312" w:cs="Times New Roman"/>
          <w:sz w:val="28"/>
          <w:szCs w:val="28"/>
        </w:rPr>
        <w:t>－</w:t>
      </w:r>
      <w:r>
        <w:rPr>
          <w:rFonts w:hint="eastAsia" w:ascii="仿宋_GB2312" w:hAnsi="Times New Roman" w:eastAsia="仿宋_GB2312" w:cs="Times New Roman"/>
          <w:sz w:val="28"/>
          <w:szCs w:val="28"/>
        </w:rPr>
        <w:t>当年新增教学科研仪器设备值）</w:t>
      </w:r>
    </w:p>
    <w:p w14:paraId="64FC0742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⒓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生均年进书量=当年新增图书量/折合在校生数</w:t>
      </w:r>
    </w:p>
    <w:p w14:paraId="067953D3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说明：</w:t>
      </w:r>
    </w:p>
    <w:p w14:paraId="02E96223">
      <w:pPr>
        <w:spacing w:line="360" w:lineRule="auto"/>
        <w:ind w:firstLine="539"/>
        <w:outlineLvl w:val="9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⒈</w:t>
      </w:r>
      <w:r>
        <w:rPr>
          <w:rFonts w:hint="eastAsia" w:ascii="仿宋_GB2312" w:hAnsi="Times New Roman" w:eastAsia="仿宋_GB2312" w:cs="Times New Roman"/>
          <w:sz w:val="28"/>
          <w:szCs w:val="28"/>
        </w:rPr>
        <w:t>进修生数指进修及培训时间在一年以上的学生数。</w:t>
      </w:r>
    </w:p>
    <w:p w14:paraId="55382F19">
      <w:r>
        <w:rPr>
          <w:rFonts w:hint="eastAsia" w:ascii="仿宋_GB2312" w:hAnsi="宋体" w:eastAsia="仿宋_GB2312" w:cs="Times New Roman"/>
          <w:sz w:val="28"/>
          <w:szCs w:val="28"/>
        </w:rPr>
        <w:t>⒉</w:t>
      </w:r>
      <w:r>
        <w:rPr>
          <w:rFonts w:hint="eastAsia" w:ascii="仿宋_GB2312" w:hAnsi="Times New Roman" w:eastAsia="仿宋_GB2312" w:cs="Times New Roman"/>
          <w:sz w:val="28"/>
          <w:szCs w:val="28"/>
        </w:rPr>
        <w:t>电子类图书、附属医院临床教学人员已在相关指标的定量中予以考虑，测算时均不包括在内。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850BA"/>
    <w:rsid w:val="65F850BA"/>
    <w:rsid w:val="67D8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1452</Words>
  <Characters>1576</Characters>
  <Lines>0</Lines>
  <Paragraphs>0</Paragraphs>
  <TotalTime>0</TotalTime>
  <ScaleCrop>false</ScaleCrop>
  <LinksUpToDate>false</LinksUpToDate>
  <CharactersWithSpaces>1586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2025-02-21T01:17:00Z</dcterms:created>
  <dc:creator>ZERO</dc:creator>
  <cp:lastModifiedBy>张剑奥</cp:lastModifiedBy>
  <dcterms:modified xsi:type="dcterms:W3CDTF">2026-04-15T09:23:40Z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1916C07BB43C44DFA33213713D602D00_13</vt:lpwstr>
  </property>
  <property fmtid="{D5CDD505-2E9C-101B-9397-08002B2CF9AE}" pid="4" name="KSOTemplateDocerSaveRecord">
    <vt:lpwstr>eyJoZGlkIjoiZWFmMTRlYTM2OTVkYzAwYjA1YWI1OTk3ODAwOTJhYzQiLCJ1c2VySWQiOiI2ODc5MjA1NTMifQ==</vt:lpwstr>
  </property>
</Properties>
</file>